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업무용 승용차 운행기록부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435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사업 연도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.    .    . ~       .    .    .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상호(법인명)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5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사업자번호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차 종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5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차량 번호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사용 부서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18"/>
        <w:gridCol w:w="946"/>
        <w:gridCol w:w="946"/>
        <w:gridCol w:w="1118"/>
        <w:gridCol w:w="1118"/>
        <w:gridCol w:w="946"/>
        <w:gridCol w:w="946"/>
        <w:gridCol w:w="946"/>
        <w:gridCol w:w="1554"/>
      </w:tblGrid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사용 일자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(요일)</w:t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부 서</w:t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주행 전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계기판(km)</w:t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주행 후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계기판(km)</w:t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주행거리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(km)</w:t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출퇴근용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(km)</w:t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일반업무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(km)</w:t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(방문처 등)</w:t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91" w:hRule="atLeast"/>
        </w:trPr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1"/>
        <w:gridCol w:w="2237"/>
        <w:gridCol w:w="2581"/>
        <w:gridCol w:w="2239"/>
      </w:tblGrid>
      <w:tr>
        <w:trPr>
          <w:cantSplit/>
          <w:trHeight w:val="457" w:hRule="atLeast"/>
        </w:trPr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기간 총 주행거리 (A)</w:t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km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업무용 사용거리 (B)</w:t>
            </w:r>
          </w:p>
        </w:tc>
        <w:tc>
          <w:tcPr>
            <w:tcW w:type="dxa" w:w="223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km</w:t>
            </w:r>
          </w:p>
        </w:tc>
      </w:tr>
      <w:tr>
        <w:trPr>
          <w:cantSplit/>
          <w:trHeight w:val="457" w:hRule="atLeast"/>
        </w:trPr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업무사용비율 (B ÷ A)</w:t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%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작 성 자</w:t>
            </w:r>
          </w:p>
        </w:tc>
        <w:tc>
          <w:tcPr>
            <w:tcW w:type="dxa" w:w="223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(서명)</w:t>
            </w:r>
          </w:p>
        </w:tc>
      </w:tr>
    </w:tbl>
    <w:p>
      <w:pPr>
        <w:spacing w:after="0" w:before="0" w:line="10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2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업무용 사용거리 = 출퇴근 + 거래처·회의·판촉 방문 등 일반 업무. 운행기록이 없으면 차량 관련 비용은 연 1,500만 원까지만 업무용으로 인정됩니다.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vehicle-log</dc:title>
  <dc:creator>uglydolls.shop</dc:creator>
  <cp:lastModifiedBy>Un-named</cp:lastModifiedBy>
  <cp:revision>1</cp:revision>
  <dcterms:created xsi:type="dcterms:W3CDTF">2026-10-04T15:01:43.707Z</dcterms:created>
  <dcterms:modified xsi:type="dcterms:W3CDTF">2026-10-04T15:01:43.707Z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